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7961" w14:textId="77777777" w:rsidR="00304AC6" w:rsidRDefault="00304AC6" w:rsidP="00304AC6">
      <w:pPr>
        <w:spacing w:after="97"/>
      </w:pPr>
    </w:p>
    <w:p w14:paraId="4B616AF5" w14:textId="711F08C1" w:rsidR="00304AC6" w:rsidRDefault="00304AC6" w:rsidP="00304AC6">
      <w:pPr>
        <w:tabs>
          <w:tab w:val="center" w:pos="3067"/>
        </w:tabs>
        <w:spacing w:after="0"/>
        <w:ind w:left="-15"/>
      </w:pPr>
      <w:r>
        <w:rPr>
          <w:b/>
          <w:color w:val="4472C4"/>
          <w:sz w:val="28"/>
        </w:rPr>
        <w:t xml:space="preserve">POSITION: </w:t>
      </w:r>
      <w:r>
        <w:rPr>
          <w:b/>
          <w:color w:val="4472C4"/>
          <w:sz w:val="28"/>
        </w:rPr>
        <w:t>SEND Teacher</w:t>
      </w:r>
    </w:p>
    <w:p w14:paraId="7351286B" w14:textId="77777777" w:rsidR="00304AC6" w:rsidRDefault="00304AC6" w:rsidP="00304AC6">
      <w:pPr>
        <w:spacing w:after="166"/>
      </w:pPr>
      <w:r>
        <w:rPr>
          <w:b/>
          <w:color w:val="4472C4"/>
          <w:sz w:val="12"/>
        </w:rPr>
        <w:t xml:space="preserve"> </w:t>
      </w:r>
    </w:p>
    <w:p w14:paraId="0B8894E6" w14:textId="77777777" w:rsidR="00304AC6" w:rsidRDefault="00304AC6" w:rsidP="00304AC6">
      <w:pPr>
        <w:spacing w:after="0"/>
        <w:ind w:left="-5" w:hanging="10"/>
      </w:pPr>
      <w:r>
        <w:rPr>
          <w:b/>
          <w:color w:val="4472C4"/>
          <w:sz w:val="28"/>
        </w:rPr>
        <w:t xml:space="preserve">JOB OVERVIEW </w:t>
      </w:r>
    </w:p>
    <w:p w14:paraId="11C4F122" w14:textId="77777777" w:rsidR="00304AC6" w:rsidRDefault="00304AC6" w:rsidP="00304AC6">
      <w:pPr>
        <w:spacing w:after="89"/>
      </w:pPr>
      <w:r>
        <w:rPr>
          <w:b/>
          <w:color w:val="4472C4"/>
          <w:sz w:val="12"/>
        </w:rPr>
        <w:t xml:space="preserve"> </w:t>
      </w:r>
    </w:p>
    <w:p w14:paraId="4B6353F5" w14:textId="77777777" w:rsidR="00304AC6" w:rsidRPr="000010F7" w:rsidRDefault="00304AC6" w:rsidP="00304AC6">
      <w:pPr>
        <w:spacing w:after="16"/>
        <w:rPr>
          <w:color w:val="000000" w:themeColor="text1"/>
        </w:rPr>
      </w:pPr>
      <w:r w:rsidRPr="000010F7">
        <w:rPr>
          <w:b/>
          <w:color w:val="000000" w:themeColor="text1"/>
          <w:sz w:val="20"/>
        </w:rPr>
        <w:t xml:space="preserve">Summary of role </w:t>
      </w:r>
    </w:p>
    <w:p w14:paraId="3C98B718" w14:textId="067D563F" w:rsidR="00304AC6" w:rsidRPr="000010F7" w:rsidRDefault="00304AC6" w:rsidP="00304AC6">
      <w:pPr>
        <w:spacing w:after="9" w:line="268" w:lineRule="auto"/>
        <w:ind w:left="-5" w:hanging="10"/>
        <w:rPr>
          <w:color w:val="000000" w:themeColor="text1"/>
        </w:rPr>
      </w:pPr>
      <w:r w:rsidRPr="000010F7">
        <w:rPr>
          <w:color w:val="000000" w:themeColor="text1"/>
          <w:sz w:val="20"/>
        </w:rPr>
        <w:t xml:space="preserve">The role of the </w:t>
      </w:r>
      <w:r>
        <w:rPr>
          <w:color w:val="000000" w:themeColor="text1"/>
          <w:sz w:val="20"/>
        </w:rPr>
        <w:t xml:space="preserve">SEND Teacher </w:t>
      </w:r>
      <w:r w:rsidRPr="00304AC6">
        <w:rPr>
          <w:color w:val="000000" w:themeColor="text1"/>
          <w:sz w:val="20"/>
        </w:rPr>
        <w:t>is to support and educate students who have a range of learning difficulties or disabilities, ensuring they receive equal access to education and opportunities to succeed. The work is crucial in promoting inclusion and adapting the learning environment to meet individual needs.</w:t>
      </w:r>
    </w:p>
    <w:p w14:paraId="49B4EC6F" w14:textId="77777777" w:rsidR="00304AC6" w:rsidRPr="000010F7" w:rsidRDefault="00304AC6" w:rsidP="00304AC6">
      <w:pPr>
        <w:spacing w:after="31"/>
        <w:rPr>
          <w:color w:val="000000" w:themeColor="text1"/>
        </w:rPr>
      </w:pPr>
      <w:r w:rsidRPr="000010F7">
        <w:rPr>
          <w:color w:val="000000" w:themeColor="text1"/>
          <w:sz w:val="20"/>
        </w:rPr>
        <w:t xml:space="preserve"> </w:t>
      </w:r>
    </w:p>
    <w:p w14:paraId="3CDF3A90" w14:textId="467FE478" w:rsidR="00304AC6" w:rsidRPr="000010F7" w:rsidRDefault="00304AC6" w:rsidP="00304AC6">
      <w:pPr>
        <w:tabs>
          <w:tab w:val="center" w:pos="1872"/>
        </w:tabs>
        <w:spacing w:after="9" w:line="268" w:lineRule="auto"/>
        <w:ind w:left="-15"/>
        <w:rPr>
          <w:color w:val="000000" w:themeColor="text1"/>
        </w:rPr>
      </w:pPr>
      <w:r w:rsidRPr="000010F7">
        <w:rPr>
          <w:color w:val="000000" w:themeColor="text1"/>
          <w:sz w:val="20"/>
        </w:rPr>
        <w:t xml:space="preserve">Reports to: </w:t>
      </w:r>
      <w:r>
        <w:rPr>
          <w:color w:val="000000" w:themeColor="text1"/>
          <w:sz w:val="20"/>
        </w:rPr>
        <w:t>Head</w:t>
      </w:r>
      <w:r w:rsidRPr="000010F7">
        <w:rPr>
          <w:color w:val="000000" w:themeColor="text1"/>
          <w:sz w:val="20"/>
        </w:rPr>
        <w:tab/>
        <w:t xml:space="preserve"> </w:t>
      </w:r>
    </w:p>
    <w:p w14:paraId="5AD670CA" w14:textId="0E4AAAFE" w:rsidR="00304AC6" w:rsidRPr="000010F7" w:rsidRDefault="00304AC6" w:rsidP="00304AC6">
      <w:pPr>
        <w:tabs>
          <w:tab w:val="center" w:pos="1785"/>
        </w:tabs>
        <w:spacing w:after="9" w:line="268" w:lineRule="auto"/>
        <w:ind w:left="-15"/>
        <w:rPr>
          <w:color w:val="000000" w:themeColor="text1"/>
        </w:rPr>
      </w:pPr>
      <w:r w:rsidRPr="000010F7">
        <w:rPr>
          <w:color w:val="000000" w:themeColor="text1"/>
          <w:sz w:val="20"/>
        </w:rPr>
        <w:t xml:space="preserve">Reports in:  </w:t>
      </w:r>
      <w:r>
        <w:rPr>
          <w:color w:val="000000" w:themeColor="text1"/>
          <w:sz w:val="20"/>
        </w:rPr>
        <w:t>N/A</w:t>
      </w:r>
      <w:r w:rsidRPr="000010F7">
        <w:rPr>
          <w:color w:val="000000" w:themeColor="text1"/>
          <w:sz w:val="20"/>
        </w:rPr>
        <w:tab/>
        <w:t xml:space="preserve"> </w:t>
      </w:r>
    </w:p>
    <w:p w14:paraId="6FB1E459" w14:textId="77777777" w:rsidR="00304AC6" w:rsidRPr="000010F7" w:rsidRDefault="00304AC6" w:rsidP="00304AC6">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3EBBC8C7" wp14:editId="45123F4D">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55C647C6" w14:textId="77777777" w:rsidR="00304AC6" w:rsidRDefault="00304AC6" w:rsidP="00304AC6">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7C0C1767" w14:textId="77777777" w:rsidR="00304AC6" w:rsidRDefault="00304AC6" w:rsidP="00304AC6">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25108E1B" w14:textId="77777777" w:rsidR="00304AC6" w:rsidRDefault="00304AC6" w:rsidP="00304AC6">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31FD9BF3" w14:textId="77777777" w:rsidR="00304AC6" w:rsidRDefault="00304AC6" w:rsidP="00304AC6">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5"/>
                          <a:stretch>
                            <a:fillRect/>
                          </a:stretch>
                        </pic:blipFill>
                        <pic:spPr>
                          <a:xfrm>
                            <a:off x="3437255" y="144145"/>
                            <a:ext cx="685292" cy="631190"/>
                          </a:xfrm>
                          <a:prstGeom prst="rect">
                            <a:avLst/>
                          </a:prstGeom>
                        </pic:spPr>
                      </pic:pic>
                    </wpg:wgp>
                  </a:graphicData>
                </a:graphic>
              </wp:anchor>
            </w:drawing>
          </mc:Choice>
          <mc:Fallback>
            <w:pict>
              <v:group w14:anchorId="3EBBC8C7"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C647C6" w14:textId="77777777" w:rsidR="00304AC6" w:rsidRDefault="00304AC6" w:rsidP="00304AC6">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C0C1767" w14:textId="77777777" w:rsidR="00304AC6" w:rsidRDefault="00304AC6" w:rsidP="00304AC6">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5108E1B" w14:textId="77777777" w:rsidR="00304AC6" w:rsidRDefault="00304AC6" w:rsidP="00304AC6">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1FD9BF3" w14:textId="77777777" w:rsidR="00304AC6" w:rsidRDefault="00304AC6" w:rsidP="00304AC6">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6" o:title=""/>
                </v:shape>
                <w10:wrap type="topAndBottom" anchorx="page" anchory="page"/>
              </v:group>
            </w:pict>
          </mc:Fallback>
        </mc:AlternateContent>
      </w:r>
      <w:r w:rsidRPr="000010F7">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304AC6" w:rsidRPr="000010F7" w14:paraId="089628E6" w14:textId="77777777" w:rsidTr="00CB77AB">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16922AE9" w14:textId="77777777" w:rsidR="00304AC6" w:rsidRPr="000010F7" w:rsidRDefault="00304AC6" w:rsidP="00304AC6">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084FACD" w14:textId="058E6736" w:rsidR="00304AC6" w:rsidRPr="000010F7" w:rsidRDefault="00304AC6" w:rsidP="00304AC6">
            <w:pPr>
              <w:ind w:left="2"/>
              <w:rPr>
                <w:rFonts w:asciiTheme="minorHAnsi" w:hAnsiTheme="minorHAnsi" w:cstheme="minorHAnsi"/>
                <w:color w:val="000000" w:themeColor="text1"/>
                <w:sz w:val="20"/>
                <w:szCs w:val="20"/>
              </w:rPr>
            </w:pPr>
            <w:r>
              <w:rPr>
                <w:b/>
                <w:bCs/>
                <w:color w:val="000000" w:themeColor="text1"/>
                <w:sz w:val="20"/>
                <w:szCs w:val="20"/>
              </w:rPr>
              <w:t>General Duties</w:t>
            </w:r>
          </w:p>
        </w:tc>
      </w:tr>
      <w:tr w:rsidR="00304AC6" w:rsidRPr="000010F7" w14:paraId="37C07C85" w14:textId="77777777" w:rsidTr="00CB77AB">
        <w:trPr>
          <w:trHeight w:val="1322"/>
        </w:trPr>
        <w:tc>
          <w:tcPr>
            <w:tcW w:w="1270" w:type="dxa"/>
            <w:vMerge w:val="restart"/>
            <w:tcBorders>
              <w:top w:val="single" w:sz="4" w:space="0" w:color="000000"/>
              <w:left w:val="single" w:sz="4" w:space="0" w:color="000000"/>
              <w:bottom w:val="single" w:sz="4" w:space="0" w:color="auto"/>
              <w:right w:val="single" w:sz="4" w:space="0" w:color="000000"/>
            </w:tcBorders>
            <w:shd w:val="clear" w:color="auto" w:fill="D9D9D9"/>
          </w:tcPr>
          <w:p w14:paraId="03ABA94C" w14:textId="77777777" w:rsidR="00304AC6" w:rsidRPr="000010F7" w:rsidRDefault="00304AC6" w:rsidP="00304AC6">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0E336763" w14:textId="64CC019E"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Deliver tailored teaching and learning to students with a range of SEND, including ASD, ADHD, speech and language difficulties, and moderate to severe learning difficulties.</w:t>
            </w:r>
          </w:p>
          <w:p w14:paraId="7F7C0675" w14:textId="6E07D4A9"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Create and adapt individualised learning plans (IEPs) and behaviour support plans.</w:t>
            </w:r>
          </w:p>
          <w:p w14:paraId="1F639955" w14:textId="22539BDF"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Work closely with teaching assistants, therapists, and external agencies to support the holistic development of students.</w:t>
            </w:r>
          </w:p>
          <w:p w14:paraId="100BCF9E" w14:textId="496CC1BA"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Monitor and assess student progress using a variety of tools, adapting teaching strategies to meet individual needs.</w:t>
            </w:r>
          </w:p>
          <w:p w14:paraId="234D010D" w14:textId="30CF6D29"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Contribute to the development of an inclusive, positive, and stimulating classroom environment.</w:t>
            </w:r>
          </w:p>
          <w:p w14:paraId="719E6F40" w14:textId="38C27B8E"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Communicate effectively with parents and carers to ensure a collaborative approach to student progress and wellbeing.</w:t>
            </w:r>
          </w:p>
          <w:p w14:paraId="6B8A67E4" w14:textId="661ED88B" w:rsidR="00304AC6" w:rsidRPr="00304AC6" w:rsidRDefault="00304AC6" w:rsidP="00304AC6">
            <w:pPr>
              <w:pStyle w:val="ListParagraph"/>
              <w:numPr>
                <w:ilvl w:val="0"/>
                <w:numId w:val="7"/>
              </w:numPr>
              <w:rPr>
                <w:color w:val="000000" w:themeColor="text1"/>
                <w:sz w:val="20"/>
                <w:szCs w:val="20"/>
              </w:rPr>
            </w:pPr>
            <w:r w:rsidRPr="00304AC6">
              <w:rPr>
                <w:color w:val="000000" w:themeColor="text1"/>
                <w:sz w:val="20"/>
                <w:szCs w:val="20"/>
              </w:rPr>
              <w:t>Maintain accurate records and contribute to the statutory assessment and EHCP (Education, Health and Care Plan) process.</w:t>
            </w:r>
          </w:p>
        </w:tc>
      </w:tr>
      <w:tr w:rsidR="00304AC6" w:rsidRPr="000010F7" w14:paraId="6D275B8C" w14:textId="77777777" w:rsidTr="00CB77AB">
        <w:trPr>
          <w:trHeight w:val="289"/>
        </w:trPr>
        <w:tc>
          <w:tcPr>
            <w:tcW w:w="0" w:type="auto"/>
            <w:vMerge/>
            <w:tcBorders>
              <w:top w:val="single" w:sz="4" w:space="0" w:color="000000"/>
              <w:left w:val="single" w:sz="4" w:space="0" w:color="000000"/>
              <w:bottom w:val="single" w:sz="4" w:space="0" w:color="auto"/>
              <w:right w:val="single" w:sz="4" w:space="0" w:color="000000"/>
            </w:tcBorders>
          </w:tcPr>
          <w:p w14:paraId="6E75BEB9" w14:textId="77777777" w:rsidR="00304AC6" w:rsidRPr="000010F7" w:rsidRDefault="00304AC6" w:rsidP="00FF4044">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3622B931" w14:textId="77777777" w:rsidR="00304AC6" w:rsidRPr="000010F7" w:rsidRDefault="00304AC6" w:rsidP="00FF4044">
            <w:pPr>
              <w:ind w:left="2"/>
              <w:rPr>
                <w:rFonts w:asciiTheme="minorHAnsi" w:hAnsiTheme="minorHAnsi" w:cstheme="minorHAnsi"/>
                <w:color w:val="000000" w:themeColor="text1"/>
                <w:sz w:val="20"/>
                <w:szCs w:val="20"/>
              </w:rPr>
            </w:pPr>
          </w:p>
        </w:tc>
      </w:tr>
    </w:tbl>
    <w:p w14:paraId="6BD45756" w14:textId="77777777" w:rsidR="00304AC6" w:rsidRPr="000010F7" w:rsidRDefault="00304AC6" w:rsidP="00304AC6">
      <w:pPr>
        <w:pStyle w:val="Heading1"/>
        <w:ind w:left="10" w:right="84"/>
        <w:rPr>
          <w:rFonts w:asciiTheme="minorHAnsi" w:hAnsiTheme="minorHAnsi" w:cstheme="minorHAnsi"/>
          <w:color w:val="000000" w:themeColor="text1"/>
          <w:sz w:val="20"/>
          <w:szCs w:val="20"/>
        </w:rPr>
      </w:pPr>
    </w:p>
    <w:p w14:paraId="4C2774A1" w14:textId="77777777" w:rsidR="00304AC6" w:rsidRPr="000010F7" w:rsidRDefault="00304AC6" w:rsidP="00304AC6">
      <w:pPr>
        <w:spacing w:after="18"/>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p w14:paraId="20B21E08" w14:textId="77777777" w:rsidR="00304AC6" w:rsidRPr="000010F7" w:rsidRDefault="00304AC6" w:rsidP="00304AC6">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304AC6" w:rsidRPr="000010F7" w14:paraId="0DA4B945" w14:textId="77777777" w:rsidTr="00FF4044">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6C36CEB4" w14:textId="77777777" w:rsidR="00304AC6" w:rsidRPr="000010F7" w:rsidRDefault="00304AC6" w:rsidP="00FF4044">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304AC6" w:rsidRPr="000010F7" w14:paraId="5E798E08" w14:textId="77777777" w:rsidTr="00FF4044">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03643282" w14:textId="77777777" w:rsidR="00304AC6" w:rsidRPr="000010F7" w:rsidRDefault="00304AC6" w:rsidP="00FF4044">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35F25FAC"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2E4D1709" w14:textId="77777777" w:rsidR="00304AC6" w:rsidRPr="000010F7" w:rsidRDefault="00304AC6" w:rsidP="00FF4044">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304AC6" w:rsidRPr="000010F7" w14:paraId="149DC031" w14:textId="77777777" w:rsidTr="00FF4044">
        <w:trPr>
          <w:trHeight w:val="1416"/>
        </w:trPr>
        <w:tc>
          <w:tcPr>
            <w:tcW w:w="1831" w:type="dxa"/>
            <w:tcBorders>
              <w:top w:val="single" w:sz="4" w:space="0" w:color="auto"/>
              <w:left w:val="single" w:sz="4" w:space="0" w:color="000000"/>
              <w:bottom w:val="single" w:sz="4" w:space="0" w:color="auto"/>
              <w:right w:val="single" w:sz="4" w:space="0" w:color="000000"/>
            </w:tcBorders>
          </w:tcPr>
          <w:p w14:paraId="784AB9F8"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2D0E46AC" w14:textId="70457E0E" w:rsidR="00304AC6" w:rsidRPr="00304AC6" w:rsidRDefault="00304AC6" w:rsidP="00304AC6">
            <w:pPr>
              <w:pStyle w:val="ListParagraph"/>
              <w:numPr>
                <w:ilvl w:val="0"/>
                <w:numId w:val="8"/>
              </w:numPr>
              <w:spacing w:after="49" w:line="240" w:lineRule="auto"/>
              <w:rPr>
                <w:rFonts w:asciiTheme="minorHAnsi" w:hAnsiTheme="minorHAnsi" w:cstheme="minorHAnsi"/>
                <w:color w:val="000000" w:themeColor="text1"/>
                <w:sz w:val="20"/>
                <w:szCs w:val="20"/>
              </w:rPr>
            </w:pPr>
            <w:r w:rsidRPr="00304AC6">
              <w:rPr>
                <w:rFonts w:asciiTheme="minorHAnsi" w:hAnsiTheme="minorHAnsi" w:cstheme="minorHAnsi"/>
                <w:color w:val="000000" w:themeColor="text1"/>
                <w:sz w:val="20"/>
                <w:szCs w:val="20"/>
              </w:rPr>
              <w:t>Qualified Teacher Status (QTS) or equivalent.</w:t>
            </w:r>
          </w:p>
          <w:p w14:paraId="5343ABAF" w14:textId="602BA0FD" w:rsidR="00304AC6" w:rsidRPr="00304AC6" w:rsidRDefault="00304AC6" w:rsidP="00304AC6">
            <w:pPr>
              <w:pStyle w:val="ListParagraph"/>
              <w:numPr>
                <w:ilvl w:val="0"/>
                <w:numId w:val="8"/>
              </w:numPr>
              <w:spacing w:after="49" w:line="240" w:lineRule="auto"/>
              <w:rPr>
                <w:rFonts w:asciiTheme="minorHAnsi" w:hAnsiTheme="minorHAnsi" w:cstheme="minorHAnsi"/>
                <w:color w:val="000000" w:themeColor="text1"/>
                <w:sz w:val="20"/>
                <w:szCs w:val="20"/>
              </w:rPr>
            </w:pPr>
            <w:r w:rsidRPr="00304AC6">
              <w:rPr>
                <w:rFonts w:asciiTheme="minorHAnsi" w:hAnsiTheme="minorHAnsi" w:cstheme="minorHAnsi"/>
                <w:color w:val="000000" w:themeColor="text1"/>
                <w:sz w:val="20"/>
                <w:szCs w:val="20"/>
              </w:rPr>
              <w:t>Proven experience working with children with SEND in a school setting.</w:t>
            </w:r>
          </w:p>
          <w:p w14:paraId="2FDFB9EA" w14:textId="3A3E1A01" w:rsidR="00304AC6" w:rsidRPr="00304AC6" w:rsidRDefault="00304AC6" w:rsidP="00304AC6">
            <w:pPr>
              <w:pStyle w:val="ListParagraph"/>
              <w:numPr>
                <w:ilvl w:val="0"/>
                <w:numId w:val="8"/>
              </w:numPr>
              <w:spacing w:after="49" w:line="240" w:lineRule="auto"/>
              <w:rPr>
                <w:rFonts w:asciiTheme="minorHAnsi" w:hAnsiTheme="minorHAnsi" w:cstheme="minorHAnsi"/>
                <w:color w:val="000000" w:themeColor="text1"/>
                <w:sz w:val="20"/>
                <w:szCs w:val="20"/>
              </w:rPr>
            </w:pPr>
            <w:r w:rsidRPr="00304AC6">
              <w:rPr>
                <w:rFonts w:asciiTheme="minorHAnsi" w:hAnsiTheme="minorHAnsi" w:cstheme="minorHAnsi"/>
                <w:color w:val="000000" w:themeColor="text1"/>
                <w:sz w:val="20"/>
                <w:szCs w:val="20"/>
              </w:rPr>
              <w:t>Strong understanding of SEND code of practice and inclusive pedagogy.</w:t>
            </w:r>
          </w:p>
          <w:p w14:paraId="5E5B5E5C" w14:textId="6F335EA6" w:rsidR="00304AC6" w:rsidRPr="00304AC6" w:rsidRDefault="00304AC6" w:rsidP="00304AC6">
            <w:pPr>
              <w:pStyle w:val="ListParagraph"/>
              <w:numPr>
                <w:ilvl w:val="0"/>
                <w:numId w:val="8"/>
              </w:numPr>
              <w:spacing w:after="49" w:line="240" w:lineRule="auto"/>
              <w:rPr>
                <w:rFonts w:asciiTheme="minorHAnsi" w:hAnsiTheme="minorHAnsi" w:cstheme="minorHAnsi"/>
                <w:color w:val="000000" w:themeColor="text1"/>
                <w:sz w:val="20"/>
                <w:szCs w:val="20"/>
              </w:rPr>
            </w:pPr>
            <w:r w:rsidRPr="00304AC6">
              <w:rPr>
                <w:rFonts w:asciiTheme="minorHAnsi" w:hAnsiTheme="minorHAnsi" w:cstheme="minorHAnsi"/>
                <w:color w:val="000000" w:themeColor="text1"/>
                <w:sz w:val="20"/>
                <w:szCs w:val="20"/>
              </w:rPr>
              <w:t>Excellent behaviour management and communication skills.</w:t>
            </w:r>
          </w:p>
          <w:p w14:paraId="65CD62F7" w14:textId="723FE069" w:rsidR="00304AC6" w:rsidRPr="00304AC6" w:rsidRDefault="00304AC6" w:rsidP="00304AC6">
            <w:pPr>
              <w:pStyle w:val="ListParagraph"/>
              <w:numPr>
                <w:ilvl w:val="0"/>
                <w:numId w:val="8"/>
              </w:numPr>
              <w:spacing w:after="49" w:line="240" w:lineRule="auto"/>
              <w:rPr>
                <w:rFonts w:asciiTheme="minorHAnsi" w:hAnsiTheme="minorHAnsi" w:cstheme="minorHAnsi"/>
                <w:color w:val="000000" w:themeColor="text1"/>
                <w:sz w:val="20"/>
                <w:szCs w:val="20"/>
              </w:rPr>
            </w:pPr>
            <w:r w:rsidRPr="00304AC6">
              <w:rPr>
                <w:rFonts w:asciiTheme="minorHAnsi" w:hAnsiTheme="minorHAnsi" w:cstheme="minorHAnsi"/>
                <w:color w:val="000000" w:themeColor="text1"/>
                <w:sz w:val="20"/>
                <w:szCs w:val="20"/>
              </w:rPr>
              <w:t>Commitment to safeguarding and promoting the welfare of children.</w:t>
            </w:r>
          </w:p>
        </w:tc>
        <w:tc>
          <w:tcPr>
            <w:tcW w:w="4542" w:type="dxa"/>
            <w:tcBorders>
              <w:top w:val="single" w:sz="4" w:space="0" w:color="000000"/>
              <w:left w:val="single" w:sz="4" w:space="0" w:color="000000"/>
              <w:bottom w:val="single" w:sz="4" w:space="0" w:color="000000"/>
              <w:right w:val="single" w:sz="4" w:space="0" w:color="000000"/>
            </w:tcBorders>
          </w:tcPr>
          <w:p w14:paraId="36F28FFF" w14:textId="04B244E3" w:rsidR="00E5177A" w:rsidRPr="00E5177A" w:rsidRDefault="00E5177A" w:rsidP="00E5177A">
            <w:pPr>
              <w:pStyle w:val="ListParagraph"/>
              <w:numPr>
                <w:ilvl w:val="0"/>
                <w:numId w:val="8"/>
              </w:numPr>
              <w:spacing w:line="240" w:lineRule="auto"/>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Additional training or qualifications in SEND (e.g., NASENCO, TEACCH, PECS, Makaton).</w:t>
            </w:r>
          </w:p>
          <w:p w14:paraId="7AF726A5" w14:textId="4B0C2BD3" w:rsidR="00E5177A" w:rsidRPr="00E5177A" w:rsidRDefault="00E5177A" w:rsidP="00E5177A">
            <w:pPr>
              <w:pStyle w:val="ListParagraph"/>
              <w:numPr>
                <w:ilvl w:val="0"/>
                <w:numId w:val="8"/>
              </w:numPr>
              <w:spacing w:line="240" w:lineRule="auto"/>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Experience in writing and implementing EHCPs.</w:t>
            </w:r>
          </w:p>
          <w:p w14:paraId="135A91F3" w14:textId="769270EA" w:rsidR="00304AC6" w:rsidRPr="00E5177A" w:rsidRDefault="00E5177A" w:rsidP="00E5177A">
            <w:pPr>
              <w:pStyle w:val="ListParagraph"/>
              <w:numPr>
                <w:ilvl w:val="0"/>
                <w:numId w:val="8"/>
              </w:numPr>
              <w:spacing w:line="240" w:lineRule="auto"/>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Experience working in a specialist setting.</w:t>
            </w:r>
          </w:p>
        </w:tc>
      </w:tr>
      <w:tr w:rsidR="00304AC6" w:rsidRPr="000010F7" w14:paraId="1BC3F53E" w14:textId="77777777" w:rsidTr="00FF4044">
        <w:trPr>
          <w:trHeight w:val="288"/>
        </w:trPr>
        <w:tc>
          <w:tcPr>
            <w:tcW w:w="1831" w:type="dxa"/>
            <w:tcBorders>
              <w:top w:val="single" w:sz="4" w:space="0" w:color="auto"/>
              <w:left w:val="single" w:sz="4" w:space="0" w:color="000000"/>
              <w:bottom w:val="single" w:sz="4" w:space="0" w:color="auto"/>
              <w:right w:val="single" w:sz="4" w:space="0" w:color="000000"/>
            </w:tcBorders>
          </w:tcPr>
          <w:p w14:paraId="02E2D206"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31BAB0F" w14:textId="77777777" w:rsidR="00E5177A" w:rsidRPr="00E5177A" w:rsidRDefault="00E5177A" w:rsidP="00E5177A">
            <w:pPr>
              <w:pStyle w:val="ListParagraph"/>
              <w:numPr>
                <w:ilvl w:val="0"/>
                <w:numId w:val="9"/>
              </w:numPr>
              <w:spacing w:line="240" w:lineRule="auto"/>
              <w:rPr>
                <w:rFonts w:asciiTheme="minorHAnsi" w:hAnsiTheme="minorHAnsi" w:cstheme="minorHAnsi"/>
                <w:sz w:val="20"/>
                <w:szCs w:val="20"/>
                <w:lang w:val="en-US" w:eastAsia="en-US"/>
              </w:rPr>
            </w:pPr>
            <w:r w:rsidRPr="00E5177A">
              <w:rPr>
                <w:rFonts w:asciiTheme="minorHAnsi" w:hAnsiTheme="minorHAnsi" w:cstheme="minorHAnsi"/>
                <w:sz w:val="20"/>
                <w:szCs w:val="20"/>
                <w:lang w:val="en-US" w:eastAsia="en-US"/>
              </w:rPr>
              <w:t>Experience of teaching children in the age range appropriate to the post</w:t>
            </w:r>
          </w:p>
          <w:p w14:paraId="529FE8D3" w14:textId="077E433B" w:rsidR="00304AC6" w:rsidRPr="00E5177A" w:rsidRDefault="00E5177A" w:rsidP="00E5177A">
            <w:pPr>
              <w:pStyle w:val="ListParagraph"/>
              <w:numPr>
                <w:ilvl w:val="0"/>
                <w:numId w:val="9"/>
              </w:numPr>
              <w:spacing w:line="240" w:lineRule="auto"/>
              <w:rPr>
                <w:rFonts w:asciiTheme="minorHAnsi" w:hAnsiTheme="minorHAnsi" w:cstheme="minorHAnsi"/>
                <w:sz w:val="20"/>
                <w:szCs w:val="20"/>
                <w:lang w:val="en-US" w:eastAsia="en-US"/>
              </w:rPr>
            </w:pPr>
            <w:r w:rsidRPr="00E5177A">
              <w:rPr>
                <w:rFonts w:asciiTheme="minorHAnsi" w:hAnsiTheme="minorHAnsi" w:cstheme="minorHAnsi"/>
                <w:sz w:val="20"/>
                <w:szCs w:val="20"/>
                <w:lang w:val="en-US" w:eastAsia="en-US"/>
              </w:rPr>
              <w:t>Ability to work in a way that promotes the safety and well-being of children</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5BB3CCC8" w14:textId="77777777" w:rsidR="00304AC6" w:rsidRPr="000010F7" w:rsidRDefault="00304AC6" w:rsidP="00304AC6">
            <w:pPr>
              <w:pStyle w:val="ListParagraph"/>
              <w:numPr>
                <w:ilvl w:val="0"/>
                <w:numId w:val="1"/>
              </w:numPr>
              <w:spacing w:line="240" w:lineRule="auto"/>
              <w:ind w:hanging="280"/>
              <w:rPr>
                <w:rFonts w:asciiTheme="minorHAnsi" w:hAnsiTheme="minorHAnsi" w:cstheme="minorHAnsi"/>
                <w:color w:val="000000" w:themeColor="text1"/>
                <w:sz w:val="20"/>
                <w:szCs w:val="20"/>
              </w:rPr>
            </w:pPr>
          </w:p>
        </w:tc>
      </w:tr>
      <w:tr w:rsidR="00304AC6" w:rsidRPr="000010F7" w14:paraId="6C2AD4BD" w14:textId="77777777" w:rsidTr="00FF4044">
        <w:trPr>
          <w:trHeight w:val="1512"/>
        </w:trPr>
        <w:tc>
          <w:tcPr>
            <w:tcW w:w="1831" w:type="dxa"/>
            <w:tcBorders>
              <w:top w:val="single" w:sz="4" w:space="0" w:color="auto"/>
              <w:left w:val="single" w:sz="4" w:space="0" w:color="000000"/>
              <w:bottom w:val="nil"/>
              <w:right w:val="single" w:sz="4" w:space="0" w:color="000000"/>
            </w:tcBorders>
            <w:shd w:val="clear" w:color="auto" w:fill="auto"/>
          </w:tcPr>
          <w:p w14:paraId="47A4042B"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lastRenderedPageBreak/>
              <w:t>Knowledge</w:t>
            </w:r>
          </w:p>
        </w:tc>
        <w:tc>
          <w:tcPr>
            <w:tcW w:w="4111" w:type="dxa"/>
            <w:tcBorders>
              <w:top w:val="single" w:sz="4" w:space="0" w:color="000000"/>
              <w:left w:val="single" w:sz="4" w:space="0" w:color="000000"/>
              <w:bottom w:val="single" w:sz="4" w:space="0" w:color="000000"/>
              <w:right w:val="single" w:sz="4" w:space="0" w:color="000000"/>
            </w:tcBorders>
          </w:tcPr>
          <w:p w14:paraId="07AEF137"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 xml:space="preserve">Statutory National Curriculum requirements at the appropriate key stage </w:t>
            </w:r>
          </w:p>
          <w:p w14:paraId="5D68863F"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 xml:space="preserve">The monitoring, assessment, recording and reporting of pupils' progress </w:t>
            </w:r>
          </w:p>
          <w:p w14:paraId="0DF312BB"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 xml:space="preserve">The statutory requirements of legislation concerning Equal Opportunities, Health &amp; Safety, SEN and Child Protection </w:t>
            </w:r>
          </w:p>
          <w:p w14:paraId="41223C5E"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Subject knowledge sufficient to challenge able students and achieve high outcomes</w:t>
            </w:r>
          </w:p>
          <w:p w14:paraId="5972B0F9"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A good understanding of curriculum developments in relevant subjects, including National Strategies</w:t>
            </w:r>
          </w:p>
          <w:p w14:paraId="1FFC1D98"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An understanding of the different ways in which children learn and the appropriateness of a variety of teaching styles to meet the individual needs of each child.</w:t>
            </w:r>
          </w:p>
          <w:p w14:paraId="26082198"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 xml:space="preserve">Inclusion and strategies for engaging all learners </w:t>
            </w:r>
          </w:p>
          <w:p w14:paraId="20FD81BD"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 xml:space="preserve">Achieving and sustaining high standards </w:t>
            </w:r>
          </w:p>
          <w:p w14:paraId="3866E802" w14:textId="77777777" w:rsidR="00E5177A" w:rsidRPr="00E5177A"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Knowledge and understanding of how ICT can be used in teaching to enhance student learning</w:t>
            </w:r>
          </w:p>
          <w:p w14:paraId="7A40CBBF" w14:textId="5EDF5EFB" w:rsidR="00304AC6" w:rsidRPr="000010F7" w:rsidRDefault="00E5177A" w:rsidP="00E5177A">
            <w:pPr>
              <w:numPr>
                <w:ilvl w:val="0"/>
                <w:numId w:val="10"/>
              </w:numPr>
              <w:spacing w:after="33" w:line="275" w:lineRule="auto"/>
              <w:ind w:left="745" w:hanging="707"/>
              <w:rPr>
                <w:rFonts w:asciiTheme="minorHAnsi" w:hAnsiTheme="minorHAnsi" w:cstheme="minorHAnsi"/>
                <w:color w:val="000000" w:themeColor="text1"/>
                <w:sz w:val="20"/>
                <w:szCs w:val="20"/>
              </w:rPr>
            </w:pPr>
            <w:r w:rsidRPr="00E5177A">
              <w:rPr>
                <w:rFonts w:asciiTheme="minorHAnsi" w:hAnsiTheme="minorHAnsi" w:cstheme="minorHAnsi"/>
                <w:color w:val="000000" w:themeColor="text1"/>
                <w:sz w:val="20"/>
                <w:szCs w:val="20"/>
              </w:rPr>
              <w:t>Effective teaching and learning styles.</w:t>
            </w:r>
          </w:p>
        </w:tc>
        <w:tc>
          <w:tcPr>
            <w:tcW w:w="4542" w:type="dxa"/>
            <w:tcBorders>
              <w:top w:val="single" w:sz="4" w:space="0" w:color="000000"/>
              <w:left w:val="single" w:sz="4" w:space="0" w:color="000000"/>
              <w:bottom w:val="single" w:sz="4" w:space="0" w:color="000000"/>
              <w:right w:val="single" w:sz="4" w:space="0" w:color="000000"/>
            </w:tcBorders>
          </w:tcPr>
          <w:p w14:paraId="483C602D" w14:textId="77777777" w:rsidR="00CB77AB" w:rsidRPr="00CB77AB" w:rsidRDefault="00CB77AB" w:rsidP="00CB77AB">
            <w:pPr>
              <w:pStyle w:val="ListParagraph"/>
              <w:numPr>
                <w:ilvl w:val="0"/>
                <w:numId w:val="10"/>
              </w:numPr>
              <w:ind w:left="462" w:hanging="425"/>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 xml:space="preserve">In addition, the Class Teacher might also have knowledge and understanding of the preparation and administration of statutory National Curriculum tests. </w:t>
            </w:r>
          </w:p>
          <w:p w14:paraId="4F42678D" w14:textId="77777777" w:rsidR="00CB77AB" w:rsidRPr="00CB77AB" w:rsidRDefault="00CB77AB" w:rsidP="00CB77AB">
            <w:pPr>
              <w:pStyle w:val="ListParagraph"/>
              <w:numPr>
                <w:ilvl w:val="0"/>
                <w:numId w:val="10"/>
              </w:numPr>
              <w:ind w:left="462" w:hanging="425"/>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 xml:space="preserve">The links between schools, especially partner schools. </w:t>
            </w:r>
          </w:p>
          <w:p w14:paraId="418B77D2" w14:textId="77777777" w:rsidR="00CB77AB" w:rsidRPr="00CB77AB" w:rsidRDefault="00CB77AB" w:rsidP="00CB77AB">
            <w:pPr>
              <w:pStyle w:val="ListParagraph"/>
              <w:numPr>
                <w:ilvl w:val="0"/>
                <w:numId w:val="10"/>
              </w:numPr>
              <w:ind w:left="462" w:hanging="425"/>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Knowledge of National Curriculum EYFS, Key Stages 1 and 6</w:t>
            </w:r>
          </w:p>
          <w:p w14:paraId="1E8086D6" w14:textId="77777777" w:rsidR="00CB77AB" w:rsidRPr="00CB77AB" w:rsidRDefault="00CB77AB" w:rsidP="00CB77AB">
            <w:pPr>
              <w:pStyle w:val="ListParagraph"/>
              <w:numPr>
                <w:ilvl w:val="0"/>
                <w:numId w:val="10"/>
              </w:numPr>
              <w:ind w:left="462" w:hanging="425"/>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 xml:space="preserve">Effective strategies for ‘closing the gap’ which meets the needs of all under-achieving pupils and vulnerable group including FSM, EAL, SEN and More Able pupils </w:t>
            </w:r>
          </w:p>
          <w:p w14:paraId="22D54E55" w14:textId="43C18786" w:rsidR="00304AC6" w:rsidRPr="00CB77AB" w:rsidRDefault="00CB77AB" w:rsidP="00CB77AB">
            <w:pPr>
              <w:pStyle w:val="ListParagraph"/>
              <w:numPr>
                <w:ilvl w:val="0"/>
                <w:numId w:val="10"/>
              </w:numPr>
              <w:ind w:left="462" w:hanging="425"/>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How the learning environment supports high standards</w:t>
            </w:r>
          </w:p>
        </w:tc>
      </w:tr>
      <w:tr w:rsidR="00304AC6" w:rsidRPr="000010F7" w14:paraId="7B1D369E" w14:textId="77777777" w:rsidTr="00FF4044">
        <w:trPr>
          <w:trHeight w:val="290"/>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423049E6"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4120338" w14:textId="3F2C610F" w:rsidR="00CB77AB"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Able to use an appropriate range of teaching and learning strategies</w:t>
            </w:r>
          </w:p>
          <w:p w14:paraId="021253EA" w14:textId="44CB7319" w:rsidR="00CB77AB"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An understanding of how assessment for learning can improve student performance</w:t>
            </w:r>
          </w:p>
          <w:p w14:paraId="1429DFF3" w14:textId="14B31778" w:rsidR="00CB77AB"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 confident and competent user of ICT</w:t>
            </w:r>
          </w:p>
          <w:p w14:paraId="258119A4" w14:textId="430B5DFB" w:rsidR="00CB77AB"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Ability to use student assessment data to raise standards</w:t>
            </w:r>
          </w:p>
          <w:p w14:paraId="64C16112" w14:textId="4C5195FD" w:rsidR="00CB77AB"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Able to communicate effectively both orally and in writing to students and their parents</w:t>
            </w:r>
          </w:p>
          <w:p w14:paraId="11466C4F" w14:textId="77777777" w:rsid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Work flexibility and show initiative</w:t>
            </w:r>
          </w:p>
          <w:p w14:paraId="518FE47B" w14:textId="73E0C730" w:rsidR="00304AC6" w:rsidRPr="00CB77AB" w:rsidRDefault="00CB77AB" w:rsidP="00CB77AB">
            <w:pPr>
              <w:pStyle w:val="ListParagraph"/>
              <w:numPr>
                <w:ilvl w:val="0"/>
                <w:numId w:val="10"/>
              </w:numPr>
              <w:spacing w:line="240" w:lineRule="auto"/>
              <w:ind w:left="745" w:hanging="709"/>
              <w:rPr>
                <w:rFonts w:asciiTheme="minorHAnsi" w:hAnsiTheme="minorHAnsi" w:cstheme="minorHAnsi"/>
                <w:color w:val="000000" w:themeColor="text1"/>
                <w:sz w:val="20"/>
                <w:szCs w:val="20"/>
              </w:rPr>
            </w:pPr>
            <w:r w:rsidRPr="00CB77AB">
              <w:rPr>
                <w:rFonts w:asciiTheme="minorHAnsi" w:hAnsiTheme="minorHAnsi" w:cstheme="minorHAnsi"/>
                <w:color w:val="000000" w:themeColor="text1"/>
                <w:sz w:val="20"/>
                <w:szCs w:val="20"/>
              </w:rPr>
              <w:t>Ability to encourage children to develop self-discipline, self-esteem, confidence and independence</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83D1A0E" w14:textId="77777777" w:rsidR="00304AC6" w:rsidRPr="000010F7" w:rsidRDefault="00304AC6" w:rsidP="00304AC6">
            <w:pPr>
              <w:pStyle w:val="ListParagraph"/>
              <w:numPr>
                <w:ilvl w:val="0"/>
                <w:numId w:val="3"/>
              </w:numPr>
              <w:spacing w:line="240" w:lineRule="auto"/>
              <w:rPr>
                <w:rFonts w:asciiTheme="minorHAnsi" w:hAnsiTheme="minorHAnsi" w:cstheme="minorHAnsi"/>
                <w:color w:val="000000" w:themeColor="text1"/>
                <w:sz w:val="20"/>
                <w:szCs w:val="20"/>
              </w:rPr>
            </w:pPr>
          </w:p>
        </w:tc>
      </w:tr>
      <w:tr w:rsidR="00304AC6" w:rsidRPr="000010F7" w14:paraId="2F160507" w14:textId="77777777" w:rsidTr="00FF4044">
        <w:trPr>
          <w:trHeight w:val="1694"/>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2AC539B2"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shd w:val="clear" w:color="auto" w:fill="auto"/>
          </w:tcPr>
          <w:p w14:paraId="6B432386" w14:textId="77777777" w:rsidR="00304AC6" w:rsidRPr="000010F7" w:rsidRDefault="00304AC6" w:rsidP="00304AC6">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09B6BEEC" w14:textId="77777777" w:rsidR="00304AC6" w:rsidRPr="000010F7" w:rsidRDefault="00304AC6" w:rsidP="00304AC6">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Excellent interpersonal skills, communicating (verbally and in-writing) effectively to a wide-range of audiences</w:t>
            </w:r>
          </w:p>
          <w:p w14:paraId="42C7254C" w14:textId="77777777" w:rsidR="00304AC6" w:rsidRPr="000010F7" w:rsidRDefault="00304AC6" w:rsidP="00304AC6">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6CEEABF9" w14:textId="77777777" w:rsidR="00304AC6" w:rsidRPr="000010F7" w:rsidRDefault="00304AC6" w:rsidP="00304AC6">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1B4867B8" w14:textId="77777777" w:rsidR="00304AC6" w:rsidRPr="000010F7" w:rsidRDefault="00304AC6" w:rsidP="00304AC6">
            <w:pPr>
              <w:numPr>
                <w:ilvl w:val="0"/>
                <w:numId w:val="2"/>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43BFC5DA"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304AC6" w:rsidRPr="000010F7" w14:paraId="76A3ED01" w14:textId="77777777" w:rsidTr="00FF4044">
        <w:trPr>
          <w:trHeight w:val="1694"/>
        </w:trPr>
        <w:tc>
          <w:tcPr>
            <w:tcW w:w="1831" w:type="dxa"/>
            <w:tcBorders>
              <w:top w:val="single" w:sz="4" w:space="0" w:color="auto"/>
              <w:left w:val="single" w:sz="4" w:space="0" w:color="000000"/>
              <w:bottom w:val="single" w:sz="4" w:space="0" w:color="000000"/>
              <w:right w:val="single" w:sz="4" w:space="0" w:color="000000"/>
            </w:tcBorders>
            <w:shd w:val="clear" w:color="auto" w:fill="auto"/>
          </w:tcPr>
          <w:p w14:paraId="7ACBA64C" w14:textId="77777777" w:rsidR="00304AC6" w:rsidRPr="000010F7" w:rsidRDefault="00304AC6" w:rsidP="00FF4044">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lastRenderedPageBreak/>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shd w:val="clear" w:color="auto" w:fill="auto"/>
          </w:tcPr>
          <w:p w14:paraId="71B799C2" w14:textId="77777777" w:rsidR="00304AC6" w:rsidRPr="000010F7" w:rsidRDefault="00304AC6" w:rsidP="00FF4044">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2B9293E6" w14:textId="77777777" w:rsidR="00304AC6" w:rsidRPr="000010F7" w:rsidRDefault="00304AC6" w:rsidP="00FF4044">
            <w:pPr>
              <w:rPr>
                <w:rFonts w:asciiTheme="minorHAnsi" w:hAnsiTheme="minorHAnsi" w:cstheme="minorHAnsi"/>
                <w:sz w:val="20"/>
                <w:szCs w:val="20"/>
                <w:lang w:val="en-US" w:eastAsia="en-US"/>
              </w:rPr>
            </w:pPr>
          </w:p>
          <w:p w14:paraId="3140B21A" w14:textId="77777777" w:rsidR="00304AC6" w:rsidRPr="000010F7" w:rsidRDefault="00304AC6" w:rsidP="00FF4044">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19FD573B" w14:textId="77777777" w:rsidR="00304AC6" w:rsidRPr="009B4FC1" w:rsidRDefault="00304AC6" w:rsidP="00304AC6">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2708265C" w14:textId="77777777" w:rsidR="00304AC6" w:rsidRPr="009B4FC1" w:rsidRDefault="00304AC6" w:rsidP="00304AC6">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7EB46C89" w14:textId="77777777" w:rsidR="00304AC6" w:rsidRPr="009B4FC1" w:rsidRDefault="00304AC6" w:rsidP="00304AC6">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6AB4D128" w14:textId="77777777" w:rsidR="00304AC6" w:rsidRPr="009B4FC1" w:rsidRDefault="00304AC6" w:rsidP="00304AC6">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35C8E272" w14:textId="77777777" w:rsidR="00304AC6" w:rsidRPr="009B4FC1" w:rsidRDefault="00304AC6" w:rsidP="00304AC6">
            <w:pPr>
              <w:pStyle w:val="ListParagraph"/>
              <w:numPr>
                <w:ilvl w:val="0"/>
                <w:numId w:val="4"/>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09C8250B" w14:textId="77777777" w:rsidR="00304AC6" w:rsidRPr="009B4FC1" w:rsidRDefault="00304AC6" w:rsidP="00304AC6">
      <w:pPr>
        <w:spacing w:after="19"/>
        <w:rPr>
          <w:color w:val="000000" w:themeColor="text1"/>
          <w:sz w:val="20"/>
        </w:rPr>
      </w:pPr>
    </w:p>
    <w:p w14:paraId="5E41DD34" w14:textId="77777777" w:rsidR="00304AC6" w:rsidRPr="000010F7" w:rsidRDefault="00304AC6" w:rsidP="00304AC6">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304AC6" w:rsidRPr="000010F7" w14:paraId="59E60AA7" w14:textId="77777777" w:rsidTr="00FF4044">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1FCFF54D" w14:textId="77777777" w:rsidR="00304AC6" w:rsidRPr="000010F7" w:rsidRDefault="00304AC6" w:rsidP="00FF4044">
            <w:pPr>
              <w:spacing w:after="15"/>
              <w:rPr>
                <w:color w:val="000000" w:themeColor="text1"/>
              </w:rPr>
            </w:pPr>
            <w:r w:rsidRPr="000010F7">
              <w:rPr>
                <w:color w:val="000000" w:themeColor="text1"/>
                <w:sz w:val="18"/>
              </w:rPr>
              <w:t xml:space="preserve"> </w:t>
            </w:r>
          </w:p>
          <w:p w14:paraId="0802438C" w14:textId="61D03975" w:rsidR="00304AC6" w:rsidRPr="000010F7" w:rsidRDefault="00304AC6" w:rsidP="00FF4044">
            <w:pPr>
              <w:spacing w:line="277" w:lineRule="auto"/>
              <w:rPr>
                <w:color w:val="000000" w:themeColor="text1"/>
              </w:rPr>
            </w:pPr>
            <w:r w:rsidRPr="000010F7">
              <w:rPr>
                <w:color w:val="000000" w:themeColor="text1"/>
                <w:sz w:val="18"/>
              </w:rPr>
              <w:t xml:space="preserve">I have read and understood the responsibilities for the position of </w:t>
            </w:r>
            <w:r w:rsidR="00CB77AB">
              <w:rPr>
                <w:color w:val="000000" w:themeColor="text1"/>
                <w:sz w:val="18"/>
              </w:rPr>
              <w:t>SEND Teacher</w:t>
            </w:r>
            <w:r w:rsidRPr="000010F7">
              <w:rPr>
                <w:color w:val="000000" w:themeColor="text1"/>
                <w:sz w:val="18"/>
              </w:rPr>
              <w:t xml:space="preserve">.  I am aware that the Job Description is subject to change accordance with the needs of the business.  </w:t>
            </w:r>
          </w:p>
        </w:tc>
      </w:tr>
      <w:tr w:rsidR="00304AC6" w:rsidRPr="000010F7" w14:paraId="4D9FFF2F" w14:textId="77777777" w:rsidTr="00FF4044">
        <w:trPr>
          <w:trHeight w:val="516"/>
        </w:trPr>
        <w:tc>
          <w:tcPr>
            <w:tcW w:w="1272" w:type="dxa"/>
            <w:tcBorders>
              <w:top w:val="single" w:sz="4" w:space="0" w:color="000000"/>
              <w:left w:val="single" w:sz="4" w:space="0" w:color="000000"/>
              <w:bottom w:val="single" w:sz="4" w:space="0" w:color="000000"/>
              <w:right w:val="single" w:sz="4" w:space="0" w:color="000000"/>
            </w:tcBorders>
          </w:tcPr>
          <w:p w14:paraId="69339CBB" w14:textId="77777777" w:rsidR="00304AC6" w:rsidRPr="000010F7" w:rsidRDefault="00304AC6" w:rsidP="00FF4044">
            <w:pPr>
              <w:spacing w:after="15"/>
              <w:rPr>
                <w:color w:val="000000" w:themeColor="text1"/>
              </w:rPr>
            </w:pPr>
            <w:r w:rsidRPr="000010F7">
              <w:rPr>
                <w:b/>
                <w:color w:val="000000" w:themeColor="text1"/>
                <w:sz w:val="18"/>
              </w:rPr>
              <w:t xml:space="preserve">Name: </w:t>
            </w:r>
          </w:p>
          <w:p w14:paraId="7C1099A2" w14:textId="77777777" w:rsidR="00304AC6" w:rsidRPr="000010F7" w:rsidRDefault="00304AC6" w:rsidP="00FF4044">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23E2C4AE" w14:textId="77777777" w:rsidR="00304AC6" w:rsidRPr="000010F7" w:rsidRDefault="00304AC6" w:rsidP="00FF4044">
            <w:pPr>
              <w:rPr>
                <w:color w:val="000000" w:themeColor="text1"/>
              </w:rPr>
            </w:pPr>
            <w:r w:rsidRPr="000010F7">
              <w:rPr>
                <w:b/>
                <w:color w:val="000000" w:themeColor="text1"/>
                <w:sz w:val="18"/>
              </w:rPr>
              <w:t xml:space="preserve"> </w:t>
            </w:r>
          </w:p>
        </w:tc>
      </w:tr>
      <w:tr w:rsidR="00304AC6" w:rsidRPr="000010F7" w14:paraId="12716C93" w14:textId="77777777" w:rsidTr="00FF4044">
        <w:trPr>
          <w:trHeight w:val="516"/>
        </w:trPr>
        <w:tc>
          <w:tcPr>
            <w:tcW w:w="1272" w:type="dxa"/>
            <w:tcBorders>
              <w:top w:val="single" w:sz="4" w:space="0" w:color="000000"/>
              <w:left w:val="single" w:sz="4" w:space="0" w:color="000000"/>
              <w:bottom w:val="single" w:sz="4" w:space="0" w:color="000000"/>
              <w:right w:val="single" w:sz="4" w:space="0" w:color="000000"/>
            </w:tcBorders>
          </w:tcPr>
          <w:p w14:paraId="0E0D7BDA" w14:textId="77777777" w:rsidR="00304AC6" w:rsidRPr="000010F7" w:rsidRDefault="00304AC6" w:rsidP="00FF4044">
            <w:pPr>
              <w:spacing w:after="17"/>
              <w:rPr>
                <w:color w:val="000000" w:themeColor="text1"/>
              </w:rPr>
            </w:pPr>
            <w:r w:rsidRPr="000010F7">
              <w:rPr>
                <w:b/>
                <w:color w:val="000000" w:themeColor="text1"/>
                <w:sz w:val="18"/>
              </w:rPr>
              <w:t xml:space="preserve">Signed: </w:t>
            </w:r>
          </w:p>
          <w:p w14:paraId="36552281" w14:textId="77777777" w:rsidR="00304AC6" w:rsidRPr="000010F7" w:rsidRDefault="00304AC6" w:rsidP="00FF4044">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B196D33" w14:textId="77777777" w:rsidR="00304AC6" w:rsidRPr="000010F7" w:rsidRDefault="00304AC6" w:rsidP="00FF4044">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7F4287" w14:textId="77777777" w:rsidR="00304AC6" w:rsidRPr="000010F7" w:rsidRDefault="00304AC6" w:rsidP="00FF4044">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4227F867" w14:textId="77777777" w:rsidR="00304AC6" w:rsidRPr="000010F7" w:rsidRDefault="00304AC6" w:rsidP="00FF4044">
            <w:pPr>
              <w:rPr>
                <w:color w:val="000000" w:themeColor="text1"/>
              </w:rPr>
            </w:pPr>
            <w:r w:rsidRPr="000010F7">
              <w:rPr>
                <w:b/>
                <w:color w:val="000000" w:themeColor="text1"/>
                <w:sz w:val="18"/>
              </w:rPr>
              <w:t xml:space="preserve"> </w:t>
            </w:r>
          </w:p>
        </w:tc>
      </w:tr>
    </w:tbl>
    <w:p w14:paraId="245EFF1F" w14:textId="77777777" w:rsidR="00304AC6" w:rsidRPr="000010F7" w:rsidRDefault="00304AC6" w:rsidP="00304AC6">
      <w:pPr>
        <w:spacing w:after="15"/>
        <w:rPr>
          <w:color w:val="000000" w:themeColor="text1"/>
        </w:rPr>
      </w:pPr>
      <w:r w:rsidRPr="000010F7">
        <w:rPr>
          <w:color w:val="000000" w:themeColor="text1"/>
          <w:sz w:val="18"/>
        </w:rPr>
        <w:t xml:space="preserve"> </w:t>
      </w:r>
    </w:p>
    <w:p w14:paraId="6B6E192F" w14:textId="77777777" w:rsidR="00304AC6" w:rsidRPr="009B4FC1" w:rsidRDefault="00304AC6" w:rsidP="00304AC6">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 xml:space="preserve">Inspired Learning Group </w:t>
      </w:r>
      <w:r>
        <w:rPr>
          <w:rFonts w:asciiTheme="minorHAnsi" w:hAnsiTheme="minorHAnsi" w:cstheme="minorHAnsi"/>
          <w:color w:val="000000" w:themeColor="text1"/>
          <w:sz w:val="20"/>
          <w:szCs w:val="20"/>
        </w:rPr>
        <w:t xml:space="preserve">is </w:t>
      </w:r>
      <w:r w:rsidRPr="009B4FC1">
        <w:rPr>
          <w:rFonts w:asciiTheme="minorHAnsi" w:hAnsiTheme="minorHAnsi" w:cstheme="minorHAnsi"/>
          <w:color w:val="000000" w:themeColor="text1"/>
          <w:sz w:val="20"/>
          <w:szCs w:val="20"/>
        </w:rPr>
        <w:t>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79C90081" w14:textId="77777777" w:rsidR="00304AC6" w:rsidRPr="000010F7" w:rsidRDefault="00304AC6" w:rsidP="00304AC6">
      <w:pPr>
        <w:spacing w:after="17"/>
        <w:rPr>
          <w:color w:val="000000" w:themeColor="text1"/>
        </w:rPr>
      </w:pPr>
    </w:p>
    <w:p w14:paraId="2F254C60" w14:textId="77777777" w:rsidR="00304AC6" w:rsidRDefault="00304AC6" w:rsidP="00304AC6">
      <w:pPr>
        <w:spacing w:after="54"/>
      </w:pPr>
      <w:r>
        <w:rPr>
          <w:color w:val="808080"/>
          <w:sz w:val="18"/>
        </w:rPr>
        <w:t xml:space="preserve"> </w:t>
      </w:r>
    </w:p>
    <w:p w14:paraId="44EFCDED" w14:textId="77777777" w:rsidR="00304AC6" w:rsidRDefault="00304AC6" w:rsidP="00304AC6"/>
    <w:p w14:paraId="5A8FF152" w14:textId="77777777" w:rsidR="00304AC6" w:rsidRDefault="00304AC6"/>
    <w:sectPr w:rsidR="00304AC6" w:rsidSect="00304A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62"/>
    <w:multiLevelType w:val="hybridMultilevel"/>
    <w:tmpl w:val="2E3E469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A6ED2"/>
    <w:multiLevelType w:val="hybridMultilevel"/>
    <w:tmpl w:val="1FAA2F62"/>
    <w:lvl w:ilvl="0" w:tplc="A7E6AB16">
      <w:numFmt w:val="bullet"/>
      <w:lvlText w:val="•"/>
      <w:lvlJc w:val="left"/>
      <w:pPr>
        <w:ind w:left="722" w:hanging="675"/>
      </w:pPr>
      <w:rPr>
        <w:rFonts w:ascii="Aptos" w:eastAsia="Calibri" w:hAnsi="Aptos" w:cstheme="minorHAns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3"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352A43AD"/>
    <w:multiLevelType w:val="hybridMultilevel"/>
    <w:tmpl w:val="F7B44158"/>
    <w:lvl w:ilvl="0" w:tplc="63BE0982">
      <w:numFmt w:val="bullet"/>
      <w:lvlText w:val="•"/>
      <w:lvlJc w:val="left"/>
      <w:pPr>
        <w:ind w:left="722" w:hanging="675"/>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F01F9"/>
    <w:multiLevelType w:val="hybridMultilevel"/>
    <w:tmpl w:val="B690520A"/>
    <w:lvl w:ilvl="0" w:tplc="63BE0982">
      <w:numFmt w:val="bullet"/>
      <w:lvlText w:val="•"/>
      <w:lvlJc w:val="left"/>
      <w:pPr>
        <w:ind w:left="317"/>
      </w:pPr>
      <w:rPr>
        <w:rFonts w:ascii="Aptos" w:eastAsia="Calibri" w:hAnsi="Aptos" w:cstheme="minorHAnsi" w:hint="default"/>
        <w:b w:val="0"/>
        <w:i w:val="0"/>
        <w:strike w:val="0"/>
        <w:dstrike w:val="0"/>
        <w:color w:val="80808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6" w15:restartNumberingAfterBreak="0">
    <w:nsid w:val="53E42355"/>
    <w:multiLevelType w:val="hybridMultilevel"/>
    <w:tmpl w:val="112C3E06"/>
    <w:lvl w:ilvl="0" w:tplc="63BE0982">
      <w:numFmt w:val="bullet"/>
      <w:lvlText w:val="•"/>
      <w:lvlJc w:val="left"/>
      <w:pPr>
        <w:ind w:left="722" w:hanging="675"/>
      </w:pPr>
      <w:rPr>
        <w:rFonts w:ascii="Aptos" w:eastAsia="Calibri" w:hAnsi="Aptos" w:cstheme="minorHAns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7"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8" w15:restartNumberingAfterBreak="0">
    <w:nsid w:val="68CF0B4B"/>
    <w:multiLevelType w:val="hybridMultilevel"/>
    <w:tmpl w:val="817ACD14"/>
    <w:lvl w:ilvl="0" w:tplc="63BE0982">
      <w:numFmt w:val="bullet"/>
      <w:lvlText w:val="•"/>
      <w:lvlJc w:val="left"/>
      <w:pPr>
        <w:ind w:left="722" w:hanging="675"/>
      </w:pPr>
      <w:rPr>
        <w:rFonts w:ascii="Aptos" w:eastAsia="Calibr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C54FB"/>
    <w:multiLevelType w:val="hybridMultilevel"/>
    <w:tmpl w:val="5EAA0454"/>
    <w:lvl w:ilvl="0" w:tplc="D7BCD7B6">
      <w:start w:val="1"/>
      <w:numFmt w:val="bullet"/>
      <w:lvlText w:val="▪"/>
      <w:lvlJc w:val="left"/>
      <w:pPr>
        <w:ind w:left="317"/>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num w:numId="1" w16cid:durableId="1670255381">
    <w:abstractNumId w:val="9"/>
  </w:num>
  <w:num w:numId="2" w16cid:durableId="1358383131">
    <w:abstractNumId w:val="3"/>
  </w:num>
  <w:num w:numId="3" w16cid:durableId="2072339858">
    <w:abstractNumId w:val="1"/>
  </w:num>
  <w:num w:numId="4" w16cid:durableId="301348616">
    <w:abstractNumId w:val="7"/>
  </w:num>
  <w:num w:numId="5" w16cid:durableId="1203517837">
    <w:abstractNumId w:val="0"/>
  </w:num>
  <w:num w:numId="6" w16cid:durableId="118961096">
    <w:abstractNumId w:val="6"/>
  </w:num>
  <w:num w:numId="7" w16cid:durableId="946233295">
    <w:abstractNumId w:val="2"/>
  </w:num>
  <w:num w:numId="8" w16cid:durableId="317731071">
    <w:abstractNumId w:val="8"/>
  </w:num>
  <w:num w:numId="9" w16cid:durableId="643657142">
    <w:abstractNumId w:val="4"/>
  </w:num>
  <w:num w:numId="10" w16cid:durableId="1318414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6"/>
    <w:rsid w:val="000F4036"/>
    <w:rsid w:val="00304AC6"/>
    <w:rsid w:val="00CB77AB"/>
    <w:rsid w:val="00E5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AE58"/>
  <w15:chartTrackingRefBased/>
  <w15:docId w15:val="{CCEE17BB-1F14-4A6E-A5F4-8FE2CCF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AC6"/>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30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C6"/>
    <w:rPr>
      <w:rFonts w:eastAsiaTheme="majorEastAsia" w:cstheme="majorBidi"/>
      <w:color w:val="272727" w:themeColor="text1" w:themeTint="D8"/>
    </w:rPr>
  </w:style>
  <w:style w:type="paragraph" w:styleId="Title">
    <w:name w:val="Title"/>
    <w:basedOn w:val="Normal"/>
    <w:next w:val="Normal"/>
    <w:link w:val="TitleChar"/>
    <w:uiPriority w:val="10"/>
    <w:qFormat/>
    <w:rsid w:val="0030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C6"/>
    <w:pPr>
      <w:spacing w:before="160"/>
      <w:jc w:val="center"/>
    </w:pPr>
    <w:rPr>
      <w:i/>
      <w:iCs/>
      <w:color w:val="404040" w:themeColor="text1" w:themeTint="BF"/>
    </w:rPr>
  </w:style>
  <w:style w:type="character" w:customStyle="1" w:styleId="QuoteChar">
    <w:name w:val="Quote Char"/>
    <w:basedOn w:val="DefaultParagraphFont"/>
    <w:link w:val="Quote"/>
    <w:uiPriority w:val="29"/>
    <w:rsid w:val="00304AC6"/>
    <w:rPr>
      <w:i/>
      <w:iCs/>
      <w:color w:val="404040" w:themeColor="text1" w:themeTint="BF"/>
    </w:rPr>
  </w:style>
  <w:style w:type="paragraph" w:styleId="ListParagraph">
    <w:name w:val="List Paragraph"/>
    <w:basedOn w:val="Normal"/>
    <w:uiPriority w:val="34"/>
    <w:qFormat/>
    <w:rsid w:val="00304AC6"/>
    <w:pPr>
      <w:ind w:left="720"/>
      <w:contextualSpacing/>
    </w:pPr>
  </w:style>
  <w:style w:type="character" w:styleId="IntenseEmphasis">
    <w:name w:val="Intense Emphasis"/>
    <w:basedOn w:val="DefaultParagraphFont"/>
    <w:uiPriority w:val="21"/>
    <w:qFormat/>
    <w:rsid w:val="00304AC6"/>
    <w:rPr>
      <w:i/>
      <w:iCs/>
      <w:color w:val="0F4761" w:themeColor="accent1" w:themeShade="BF"/>
    </w:rPr>
  </w:style>
  <w:style w:type="paragraph" w:styleId="IntenseQuote">
    <w:name w:val="Intense Quote"/>
    <w:basedOn w:val="Normal"/>
    <w:next w:val="Normal"/>
    <w:link w:val="IntenseQuoteChar"/>
    <w:uiPriority w:val="30"/>
    <w:qFormat/>
    <w:rsid w:val="0030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C6"/>
    <w:rPr>
      <w:i/>
      <w:iCs/>
      <w:color w:val="0F4761" w:themeColor="accent1" w:themeShade="BF"/>
    </w:rPr>
  </w:style>
  <w:style w:type="character" w:styleId="IntenseReference">
    <w:name w:val="Intense Reference"/>
    <w:basedOn w:val="DefaultParagraphFont"/>
    <w:uiPriority w:val="32"/>
    <w:qFormat/>
    <w:rsid w:val="00304AC6"/>
    <w:rPr>
      <w:b/>
      <w:bCs/>
      <w:smallCaps/>
      <w:color w:val="0F4761" w:themeColor="accent1" w:themeShade="BF"/>
      <w:spacing w:val="5"/>
    </w:rPr>
  </w:style>
  <w:style w:type="table" w:customStyle="1" w:styleId="TableGrid">
    <w:name w:val="TableGrid"/>
    <w:rsid w:val="00304AC6"/>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304AC6"/>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775AD2E7-7C17-4795-8E8B-40B4DE117AD3}"/>
</file>

<file path=customXml/itemProps2.xml><?xml version="1.0" encoding="utf-8"?>
<ds:datastoreItem xmlns:ds="http://schemas.openxmlformats.org/officeDocument/2006/customXml" ds:itemID="{F8D7AB17-395E-4E43-88D1-237E1FFC1E16}"/>
</file>

<file path=customXml/itemProps3.xml><?xml version="1.0" encoding="utf-8"?>
<ds:datastoreItem xmlns:ds="http://schemas.openxmlformats.org/officeDocument/2006/customXml" ds:itemID="{E68BBA6B-2833-4200-BEA9-6B6D5942F192}"/>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Tom Havard</cp:lastModifiedBy>
  <cp:revision>1</cp:revision>
  <dcterms:created xsi:type="dcterms:W3CDTF">2025-06-24T11:08:00Z</dcterms:created>
  <dcterms:modified xsi:type="dcterms:W3CDTF">2025-06-24T16:06:00Z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